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57" w:rsidRPr="00243BA2" w:rsidRDefault="00072157" w:rsidP="00072157">
      <w:pPr>
        <w:spacing w:after="0" w:line="276" w:lineRule="auto"/>
        <w:ind w:left="5670"/>
        <w:jc w:val="left"/>
      </w:pPr>
      <w:bookmarkStart w:id="0" w:name="_GoBack"/>
      <w:bookmarkEnd w:id="0"/>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1" w:name="_Toc474427566"/>
      <w:r w:rsidRPr="00243BA2">
        <w:t>ПОЛОЖЕНИЕ</w:t>
      </w:r>
      <w:bookmarkEnd w:id="1"/>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7603B4">
          <w:pPr>
            <w:pStyle w:val="10"/>
            <w:rPr>
              <w:rFonts w:eastAsiaTheme="minorEastAsia"/>
              <w:b w:val="0"/>
              <w:bCs w:val="0"/>
              <w:caps w:val="0"/>
              <w:sz w:val="22"/>
              <w:szCs w:val="22"/>
            </w:rPr>
          </w:pPr>
          <w:r w:rsidRPr="00243BA2">
            <w:fldChar w:fldCharType="begin"/>
          </w:r>
          <w:r w:rsidR="00F11A04" w:rsidRPr="00243BA2">
            <w:instrText xml:space="preserve"> TOC \o "1-3" \h \z \u </w:instrText>
          </w:r>
          <w:r w:rsidRPr="00243BA2">
            <w:fldChar w:fldCharType="separate"/>
          </w:r>
          <w:hyperlink w:anchor="_Toc474427566" w:history="1">
            <w:r w:rsidR="00221C67" w:rsidRPr="00243BA2">
              <w:rPr>
                <w:rStyle w:val="a8"/>
                <w:b w:val="0"/>
                <w:color w:val="auto"/>
              </w:rPr>
              <w:t>ПОЛОЖЕНИЕ</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_Toc474427566 \h </w:instrText>
            </w:r>
            <w:r w:rsidR="00221C67" w:rsidRPr="00243BA2">
              <w:rPr>
                <w:b w:val="0"/>
                <w:webHidden/>
              </w:rPr>
            </w:r>
            <w:r w:rsidR="00221C67" w:rsidRPr="00243BA2">
              <w:rPr>
                <w:b w:val="0"/>
                <w:webHidden/>
              </w:rPr>
              <w:fldChar w:fldCharType="separate"/>
            </w:r>
            <w:r w:rsidR="00722C31" w:rsidRPr="00243BA2">
              <w:rPr>
                <w:b w:val="0"/>
                <w:webHidden/>
              </w:rPr>
              <w:t>1</w:t>
            </w:r>
            <w:r w:rsidR="00221C67" w:rsidRPr="00243BA2">
              <w:rPr>
                <w:b w:val="0"/>
                <w:webHidden/>
              </w:rPr>
              <w:fldChar w:fldCharType="end"/>
            </w:r>
          </w:hyperlink>
        </w:p>
        <w:p w:rsidR="00221C67" w:rsidRPr="00243BA2" w:rsidRDefault="00214937">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214937">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214937">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00221C67" w:rsidRPr="00243BA2">
              <w:rPr>
                <w:rFonts w:ascii="Times New Roman" w:hAnsi="Times New Roman" w:cs="Times New Roman"/>
                <w:noProof/>
                <w:webHidden/>
              </w:rPr>
              <w:fldChar w:fldCharType="end"/>
            </w:r>
          </w:hyperlink>
        </w:p>
        <w:p w:rsidR="00221C67" w:rsidRPr="00243BA2" w:rsidRDefault="00214937">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00221C67" w:rsidRPr="00243BA2">
              <w:rPr>
                <w:rFonts w:ascii="Times New Roman" w:hAnsi="Times New Roman" w:cs="Times New Roman"/>
                <w:noProof/>
                <w:webHidden/>
              </w:rPr>
              <w:fldChar w:fldCharType="end"/>
            </w:r>
          </w:hyperlink>
        </w:p>
        <w:p w:rsidR="00221C67" w:rsidRPr="00243BA2" w:rsidRDefault="00214937">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_Toc474427571 \h </w:instrText>
            </w:r>
            <w:r w:rsidR="00221C67" w:rsidRPr="00243BA2">
              <w:rPr>
                <w:b w:val="0"/>
                <w:webHidden/>
              </w:rPr>
            </w:r>
            <w:r w:rsidR="00221C67" w:rsidRPr="00243BA2">
              <w:rPr>
                <w:b w:val="0"/>
                <w:webHidden/>
              </w:rPr>
              <w:fldChar w:fldCharType="separate"/>
            </w:r>
            <w:r w:rsidR="00722C31" w:rsidRPr="00243BA2">
              <w:rPr>
                <w:b w:val="0"/>
                <w:webHidden/>
              </w:rPr>
              <w:t>34</w:t>
            </w:r>
            <w:r w:rsidR="00221C67" w:rsidRPr="00243BA2">
              <w:rPr>
                <w:b w:val="0"/>
                <w:webHidden/>
              </w:rPr>
              <w:fldChar w:fldCharType="end"/>
            </w:r>
          </w:hyperlink>
        </w:p>
        <w:p w:rsidR="00221C67" w:rsidRPr="00243BA2" w:rsidRDefault="00214937">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_Toc474427572 \h </w:instrText>
            </w:r>
            <w:r w:rsidR="00221C67" w:rsidRPr="00243BA2">
              <w:rPr>
                <w:b w:val="0"/>
                <w:webHidden/>
              </w:rPr>
            </w:r>
            <w:r w:rsidR="00221C67" w:rsidRPr="00243BA2">
              <w:rPr>
                <w:b w:val="0"/>
                <w:webHidden/>
              </w:rPr>
              <w:fldChar w:fldCharType="separate"/>
            </w:r>
            <w:r w:rsidR="00722C31" w:rsidRPr="00243BA2">
              <w:rPr>
                <w:b w:val="0"/>
                <w:webHidden/>
              </w:rPr>
              <w:t>36</w:t>
            </w:r>
            <w:r w:rsidR="00221C67" w:rsidRPr="00243BA2">
              <w:rPr>
                <w:b w:val="0"/>
                <w:webHidden/>
              </w:rPr>
              <w:fldChar w:fldCharType="end"/>
            </w:r>
          </w:hyperlink>
        </w:p>
        <w:p w:rsidR="00221C67" w:rsidRPr="00243BA2" w:rsidRDefault="00214937">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_Toc474427573 \h </w:instrText>
            </w:r>
            <w:r w:rsidR="00221C67" w:rsidRPr="00243BA2">
              <w:rPr>
                <w:b w:val="0"/>
                <w:webHidden/>
              </w:rPr>
            </w:r>
            <w:r w:rsidR="00221C67" w:rsidRPr="00243BA2">
              <w:rPr>
                <w:b w:val="0"/>
                <w:webHidden/>
              </w:rPr>
              <w:fldChar w:fldCharType="separate"/>
            </w:r>
            <w:r w:rsidR="00722C31" w:rsidRPr="00243BA2">
              <w:rPr>
                <w:b w:val="0"/>
                <w:webHidden/>
              </w:rPr>
              <w:t>39</w:t>
            </w:r>
            <w:r w:rsidR="00221C67" w:rsidRPr="00243BA2">
              <w:rPr>
                <w:b w:val="0"/>
                <w:webHidden/>
              </w:rPr>
              <w:fldChar w:fldCharType="end"/>
            </w:r>
          </w:hyperlink>
        </w:p>
        <w:p w:rsidR="00221C67" w:rsidRPr="00243BA2" w:rsidRDefault="00214937">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_Toc474427574 \h </w:instrText>
            </w:r>
            <w:r w:rsidR="00221C67" w:rsidRPr="00243BA2">
              <w:rPr>
                <w:b w:val="0"/>
                <w:webHidden/>
              </w:rPr>
            </w:r>
            <w:r w:rsidR="00221C67" w:rsidRPr="00243BA2">
              <w:rPr>
                <w:b w:val="0"/>
                <w:webHidden/>
              </w:rPr>
              <w:fldChar w:fldCharType="separate"/>
            </w:r>
            <w:r w:rsidR="00722C31" w:rsidRPr="00243BA2">
              <w:rPr>
                <w:b w:val="0"/>
                <w:webHidden/>
              </w:rPr>
              <w:t>44</w:t>
            </w:r>
            <w:r w:rsidR="00221C67" w:rsidRPr="00243BA2">
              <w:rPr>
                <w:b w:val="0"/>
                <w:webHidden/>
              </w:rPr>
              <w:fldChar w:fldCharType="end"/>
            </w:r>
          </w:hyperlink>
        </w:p>
        <w:p w:rsidR="00F11A04" w:rsidRPr="00243BA2" w:rsidRDefault="007603B4"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val="x-none" w:eastAsia="x-none"/>
        </w:rPr>
      </w:pPr>
      <w:r w:rsidRPr="00243BA2">
        <w:br w:type="page"/>
      </w:r>
    </w:p>
    <w:p w:rsidR="0075438A" w:rsidRPr="00243BA2" w:rsidRDefault="0075438A" w:rsidP="00727770">
      <w:pPr>
        <w:pStyle w:val="3"/>
        <w:spacing w:before="0" w:after="0"/>
        <w:ind w:left="0"/>
        <w:rPr>
          <w:b/>
          <w:lang w:val="ru-RU"/>
        </w:rPr>
      </w:pPr>
      <w:bookmarkStart w:id="2" w:name="_Toc474427567"/>
      <w:r w:rsidRPr="00243BA2">
        <w:rPr>
          <w:b/>
        </w:rPr>
        <w:lastRenderedPageBreak/>
        <w:t xml:space="preserve">1. </w:t>
      </w:r>
      <w:r w:rsidR="000C0E21" w:rsidRPr="00243BA2">
        <w:rPr>
          <w:b/>
          <w:lang w:val="ru-RU"/>
        </w:rPr>
        <w:t>ОБЩИЕ ПОЛОЖЕНИЯ</w:t>
      </w:r>
      <w:bookmarkEnd w:id="2"/>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 xml:space="preserve">Н1.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 xml:space="preserve">Н2.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 xml:space="preserve">Н4.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Н6.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3"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3"/>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дата регистрации предприятия составляет не более 2-х лет с даты подачи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1"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lastRenderedPageBreak/>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с даты заключения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243BA2">
        <w:lastRenderedPageBreak/>
        <w:t>может быть согласовано Фондом при условии предоставления исполнителем убедительного обоснования причин переноса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средств </w:t>
      </w:r>
      <w:r w:rsidR="00A6399D" w:rsidRPr="00243BA2">
        <w:t>г</w:t>
      </w:r>
      <w:r w:rsidR="00447247" w:rsidRPr="00243BA2">
        <w:t xml:space="preserve">ранта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r w:rsidR="00E909F0" w:rsidRPr="00243BA2">
        <w:t>проводится</w:t>
      </w:r>
      <w:r w:rsidR="008F3031" w:rsidRPr="00243B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 xml:space="preserve">жюри.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12" o:title=""/>
          </v:shape>
          <o:OLEObject Type="Embed" ProgID="PowerPoint.Show.12" ShapeID="_x0000_i1025" DrawAspect="Icon" ObjectID="_1585482800" r:id="rId13"/>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lastRenderedPageBreak/>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4" w:history="1">
        <w:r w:rsidR="00721EB2" w:rsidRPr="00243BA2">
          <w:rPr>
            <w:rStyle w:val="a8"/>
            <w:color w:val="auto"/>
          </w:rPr>
          <w:t>www.fasie.ru</w:t>
        </w:r>
      </w:hyperlink>
      <w:r w:rsidR="00721EB2" w:rsidRPr="00243BA2">
        <w:t xml:space="preserve"> не позднее чем через десять дней с даты подписания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243BA2">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средств гранта.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5"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lastRenderedPageBreak/>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Фонд осуществляет контроль за ходом выполнения работ и целевым использованием гранта</w:t>
      </w:r>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243BA2">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2.4.1</w:t>
      </w:r>
      <w:r w:rsidR="008125B9" w:rsidRPr="00243BA2">
        <w:t>5</w:t>
      </w:r>
      <w:r w:rsidRPr="00243BA2">
        <w:t xml:space="preserve">. 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243BA2" w:rsidRDefault="008A15CA" w:rsidP="008A15CA">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w:t>
      </w:r>
      <w:r w:rsidR="00213D80" w:rsidRPr="00243BA2">
        <w:lastRenderedPageBreak/>
        <w:t xml:space="preserve">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 сведений, за</w:t>
      </w:r>
      <w:r w:rsidR="008346A5" w:rsidRPr="00243BA2">
        <w:t>регистрированные в ФГНУ «ЦИТиС»</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2.5.3. В течение 5 рабочих дней с даты регистрации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lastRenderedPageBreak/>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средств гранта;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7"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243BA2" w:rsidRDefault="008A15CA" w:rsidP="008A15CA">
      <w:pPr>
        <w:pStyle w:val="af"/>
        <w:numPr>
          <w:ilvl w:val="0"/>
          <w:numId w:val="19"/>
        </w:numPr>
        <w:spacing w:after="0" w:line="276" w:lineRule="auto"/>
      </w:pPr>
      <w:r w:rsidRPr="00243BA2">
        <w:t>не позднее 30 календарных дней с даты размещения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r w:rsidR="00855E78" w:rsidRPr="00243BA2">
        <w:t>и</w:t>
      </w:r>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а) находящимся в процессе ликвидации или реорганизации;</w:t>
      </w:r>
    </w:p>
    <w:p w:rsidR="000530E2" w:rsidRPr="00243BA2" w:rsidRDefault="000530E2" w:rsidP="000530E2">
      <w:pPr>
        <w:spacing w:after="0" w:line="276" w:lineRule="auto"/>
        <w:ind w:firstLine="567"/>
      </w:pPr>
      <w:r w:rsidRPr="00243BA2">
        <w:t>б) находящимся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4" w:name="_Toc474427569"/>
      <w:r w:rsidRPr="00243BA2">
        <w:rPr>
          <w:b/>
          <w:lang w:val="ru-RU"/>
        </w:rPr>
        <w:t>3</w:t>
      </w:r>
      <w:r w:rsidRPr="00243BA2">
        <w:rPr>
          <w:b/>
        </w:rPr>
        <w:t xml:space="preserve">. </w:t>
      </w:r>
      <w:r w:rsidRPr="00243BA2">
        <w:rPr>
          <w:b/>
          <w:lang w:val="ru-RU"/>
        </w:rPr>
        <w:t>2-Й ЭТАП ПРОГРАММЫ (КОНКУРС «СТАРТ-2»)</w:t>
      </w:r>
      <w:bookmarkEnd w:id="4"/>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ED3AAE" w:rsidRDefault="00060B7C" w:rsidP="00ED3AAE">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ED3AAE" w:rsidRPr="00243BA2" w:rsidRDefault="00ED3AAE" w:rsidP="00ED3AAE">
      <w:pPr>
        <w:pStyle w:val="af"/>
        <w:numPr>
          <w:ilvl w:val="0"/>
          <w:numId w:val="12"/>
        </w:numPr>
        <w:spacing w:after="0" w:line="276" w:lineRule="auto"/>
      </w:pPr>
      <w:r w:rsidRPr="00243BA2">
        <w:lastRenderedPageBreak/>
        <w:t xml:space="preserve">дата регистрации предприятия составляет не более </w:t>
      </w:r>
      <w:r>
        <w:t>3</w:t>
      </w:r>
      <w:r w:rsidRPr="00243BA2">
        <w:t>-х лет с даты подачи заявки на конкурс;</w:t>
      </w:r>
    </w:p>
    <w:p w:rsidR="00060B7C" w:rsidRPr="00243BA2" w:rsidRDefault="00060B7C" w:rsidP="00060B7C">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 xml:space="preserve">на реализацию инновационного проекта, и документы, подтверждающие платежеспособность инвестора </w:t>
      </w:r>
      <w:r w:rsidRPr="00243BA2">
        <w:lastRenderedPageBreak/>
        <w:t>(финансовая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средств гранта.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8"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lastRenderedPageBreak/>
        <w:t>3</w:t>
      </w:r>
      <w:r w:rsidR="00060B7C" w:rsidRPr="00243BA2">
        <w:t xml:space="preserve">.2.2. Срок выполнения НИОКР составляет не более 12 месяцев с даты заключения договора гранта. </w:t>
      </w:r>
    </w:p>
    <w:p w:rsidR="00C42690" w:rsidRPr="00243BA2" w:rsidRDefault="00C42690" w:rsidP="00C42690">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lastRenderedPageBreak/>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t>3</w:t>
      </w:r>
      <w:r w:rsidR="00060B7C" w:rsidRPr="00243BA2">
        <w:t>.2.</w:t>
      </w:r>
      <w:r w:rsidRPr="00243BA2">
        <w:t>7</w:t>
      </w:r>
      <w:r w:rsidR="00060B7C" w:rsidRPr="00243B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lastRenderedPageBreak/>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243BA2" w:rsidRDefault="00026D75" w:rsidP="00050454">
      <w:pPr>
        <w:spacing w:after="0" w:line="276" w:lineRule="auto"/>
        <w:ind w:firstLine="567"/>
      </w:pPr>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lastRenderedPageBreak/>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19" w:history="1">
        <w:r w:rsidR="00060B7C" w:rsidRPr="00243BA2">
          <w:rPr>
            <w:rStyle w:val="a8"/>
            <w:color w:val="auto"/>
          </w:rPr>
          <w:t>www.fasie.ru</w:t>
        </w:r>
      </w:hyperlink>
      <w:r w:rsidR="00060B7C" w:rsidRPr="00243BA2">
        <w:t xml:space="preserve"> не позднее чем через десять дней с даты подписания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243BA2" w:rsidRDefault="00060B7C" w:rsidP="00060B7C">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0"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C42690" w:rsidRPr="00243BA2" w:rsidRDefault="00C42690" w:rsidP="00C42690">
      <w:pPr>
        <w:spacing w:after="0" w:line="276" w:lineRule="auto"/>
        <w:ind w:firstLine="567"/>
      </w:pPr>
      <w:r w:rsidRPr="00243BA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3.4.14.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C42690" w:rsidRPr="00243BA2" w:rsidRDefault="00C42690" w:rsidP="00C42690">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C42690" w:rsidRPr="00243BA2" w:rsidRDefault="00C42690" w:rsidP="00C42690">
      <w:pPr>
        <w:spacing w:after="0" w:line="276" w:lineRule="auto"/>
        <w:ind w:firstLine="567"/>
      </w:pPr>
      <w:r w:rsidRPr="00243BA2">
        <w:t>3.4.15.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243BA2" w:rsidRDefault="00C42690" w:rsidP="00C42690">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lastRenderedPageBreak/>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3.4.18.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2"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не позднее 30 календарных дней с даты размещения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а) находящим</w:t>
      </w:r>
      <w:r w:rsidR="00060B7C" w:rsidRPr="00243BA2">
        <w:t>ся в процессе ликвидации или реорганизации;</w:t>
      </w:r>
    </w:p>
    <w:p w:rsidR="00060B7C" w:rsidRPr="00243BA2" w:rsidRDefault="000530E2" w:rsidP="00060B7C">
      <w:pPr>
        <w:spacing w:after="0" w:line="276" w:lineRule="auto"/>
        <w:ind w:firstLine="567"/>
      </w:pPr>
      <w:r w:rsidRPr="00243BA2">
        <w:t>б) находящимся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г) в отношении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5" w:name="_Toc474427570"/>
      <w:r w:rsidRPr="00243BA2">
        <w:rPr>
          <w:b/>
          <w:lang w:val="ru-RU"/>
        </w:rPr>
        <w:lastRenderedPageBreak/>
        <w:t>4</w:t>
      </w:r>
      <w:r w:rsidRPr="00243BA2">
        <w:rPr>
          <w:b/>
        </w:rPr>
        <w:t xml:space="preserve">. </w:t>
      </w:r>
      <w:r w:rsidRPr="00243BA2">
        <w:rPr>
          <w:b/>
          <w:lang w:val="ru-RU"/>
        </w:rPr>
        <w:t>3-Й ЭТАП ПРОГРАММЫ (КОНКУРС «СТАРТ-3»)</w:t>
      </w:r>
      <w:bookmarkEnd w:id="5"/>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243BA2">
        <w:rPr>
          <w:rStyle w:val="ab"/>
        </w:rPr>
        <w:footnoteReference w:id="14"/>
      </w:r>
      <w:r w:rsidRPr="00243BA2">
        <w:t>;</w:t>
      </w:r>
    </w:p>
    <w:p w:rsidR="001F6AA9" w:rsidRPr="00243BA2" w:rsidRDefault="00DB4B17" w:rsidP="00DB4B17">
      <w:pPr>
        <w:pStyle w:val="af"/>
        <w:numPr>
          <w:ilvl w:val="1"/>
          <w:numId w:val="13"/>
        </w:numPr>
        <w:spacing w:after="0" w:line="276" w:lineRule="auto"/>
      </w:pPr>
      <w:r w:rsidRPr="00243BA2">
        <w:lastRenderedPageBreak/>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t>утвержденный Фондом отчет о целевом использовании средств гранта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3"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lastRenderedPageBreak/>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с даты заключения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lastRenderedPageBreak/>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 xml:space="preserve">.1.2 </w:t>
      </w:r>
      <w:r w:rsidR="001F6AA9" w:rsidRPr="00243BA2">
        <w:lastRenderedPageBreak/>
        <w:t>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lastRenderedPageBreak/>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4" w:history="1">
        <w:r w:rsidR="001F6AA9" w:rsidRPr="00243BA2">
          <w:rPr>
            <w:rStyle w:val="a8"/>
            <w:color w:val="auto"/>
          </w:rPr>
          <w:t>www.fasie.ru</w:t>
        </w:r>
      </w:hyperlink>
      <w:r w:rsidR="001F6AA9" w:rsidRPr="00243BA2">
        <w:t xml:space="preserve"> не позднее чем через десять дней с даты подписания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243BA2" w:rsidRDefault="007B493D" w:rsidP="007B493D">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Фонд 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5"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7B493D" w:rsidRPr="00243BA2" w:rsidRDefault="007B493D" w:rsidP="007B493D">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7B493D" w:rsidRPr="00243BA2" w:rsidRDefault="007B493D" w:rsidP="007B493D">
      <w:pPr>
        <w:spacing w:after="0" w:line="276" w:lineRule="auto"/>
        <w:ind w:firstLine="567"/>
      </w:pPr>
      <w:r w:rsidRPr="00243BA2">
        <w:t>4.4.15.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243BA2" w:rsidRDefault="007B493D" w:rsidP="007B493D">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lastRenderedPageBreak/>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7"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а) находящимся в процессе ликвидации или реорганизации;</w:t>
      </w:r>
    </w:p>
    <w:p w:rsidR="007B493D" w:rsidRPr="00243BA2" w:rsidRDefault="007B493D" w:rsidP="007B493D">
      <w:pPr>
        <w:spacing w:after="0" w:line="276" w:lineRule="auto"/>
        <w:ind w:firstLine="567"/>
      </w:pPr>
      <w:r w:rsidRPr="00243BA2">
        <w:t>б) находящимся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243BA2">
        <w:lastRenderedPageBreak/>
        <w:br w:type="page"/>
      </w:r>
    </w:p>
    <w:p w:rsidR="005D28DE" w:rsidRPr="00243BA2" w:rsidRDefault="005D28DE" w:rsidP="00C0167E">
      <w:pPr>
        <w:jc w:val="right"/>
        <w:rPr>
          <w:b/>
        </w:rPr>
      </w:pPr>
      <w:r w:rsidRPr="00243BA2">
        <w:lastRenderedPageBreak/>
        <w:t xml:space="preserve">Приложение № </w:t>
      </w:r>
      <w:bookmarkEnd w:id="6"/>
      <w:bookmarkEnd w:id="7"/>
      <w:bookmarkEnd w:id="8"/>
      <w:bookmarkEnd w:id="9"/>
      <w:bookmarkEnd w:id="10"/>
      <w:bookmarkEnd w:id="11"/>
      <w:r w:rsidR="004804E0" w:rsidRPr="00243BA2">
        <w:t>1</w:t>
      </w:r>
    </w:p>
    <w:p w:rsidR="00A82A20" w:rsidRPr="00243B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243BA2" w:rsidRDefault="00A82A20" w:rsidP="00A82A20">
      <w:pPr>
        <w:pStyle w:val="1"/>
      </w:pPr>
      <w:bookmarkStart w:id="22" w:name="_КРИТЕРИИ_ОЦЕНКИ_ЗАЯВОК"/>
      <w:bookmarkStart w:id="23" w:name="_Toc474427571"/>
      <w:bookmarkEnd w:id="22"/>
      <w:r w:rsidRPr="00243BA2">
        <w:t>КРИТЕРИИ ОЦЕНКИ ЗАЯВОК НА УЧАСТИЕ В КОНКУРСЕ И ИХ ЗНАЧИМОСТЬ</w:t>
      </w:r>
      <w:bookmarkEnd w:id="23"/>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lastRenderedPageBreak/>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4" w:name="_СТРУКТУРА_БИЗНЕС-ПЛАНА_ИННОВАЦИОННО"/>
      <w:bookmarkStart w:id="25" w:name="_Toc434224391"/>
      <w:bookmarkStart w:id="26" w:name="_Toc474427572"/>
      <w:bookmarkEnd w:id="24"/>
      <w:r w:rsidRPr="00243BA2">
        <w:t>СТРУКТУРА БИЗНЕС-ПЛАНА ИННОВАЦИОННОГО ПРОЕКТА</w:t>
      </w:r>
      <w:bookmarkEnd w:id="25"/>
      <w:bookmarkEnd w:id="26"/>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бизнес-модели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lastRenderedPageBreak/>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средств в группировке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lastRenderedPageBreak/>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6"/>
      <w:bookmarkEnd w:id="17"/>
      <w:bookmarkEnd w:id="21"/>
    </w:tbl>
    <w:p w:rsidR="00615E5B" w:rsidRPr="00243BA2" w:rsidRDefault="00BA7EF4" w:rsidP="00615E5B">
      <w:pPr>
        <w:jc w:val="right"/>
      </w:pPr>
      <w:r w:rsidRPr="00243BA2">
        <w:br w:type="page"/>
      </w:r>
      <w:r w:rsidR="00615E5B" w:rsidRPr="00243BA2">
        <w:lastRenderedPageBreak/>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sz w:val="22"/>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sz w:val="22"/>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sz w:val="22"/>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Чел.</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Да</w:t>
            </w:r>
          </w:p>
          <w:p w:rsidR="00047F5D" w:rsidRPr="00243BA2" w:rsidRDefault="00047F5D" w:rsidP="00615E5B">
            <w:pPr>
              <w:spacing w:after="0"/>
              <w:jc w:val="center"/>
              <w:rPr>
                <w:sz w:val="22"/>
              </w:rPr>
            </w:pPr>
            <w:r w:rsidRPr="00243BA2">
              <w:rPr>
                <w:sz w:val="22"/>
              </w:rPr>
              <w:t>(Не менее 1 чел.)</w:t>
            </w:r>
          </w:p>
          <w:p w:rsidR="00047F5D" w:rsidRPr="00243BA2" w:rsidRDefault="00047F5D" w:rsidP="00615E5B">
            <w:pPr>
              <w:spacing w:after="0"/>
              <w:jc w:val="center"/>
              <w:rPr>
                <w:i/>
                <w:sz w:val="22"/>
              </w:rPr>
            </w:pP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 xml:space="preserve">(Не менее </w:t>
            </w:r>
          </w:p>
          <w:p w:rsidR="00047F5D" w:rsidRPr="00243BA2" w:rsidRDefault="00047F5D" w:rsidP="007B143F">
            <w:pPr>
              <w:spacing w:after="0"/>
              <w:jc w:val="center"/>
              <w:rPr>
                <w:sz w:val="22"/>
              </w:rPr>
            </w:pPr>
            <w:r w:rsidRPr="00243BA2">
              <w:rPr>
                <w:sz w:val="22"/>
              </w:rPr>
              <w:t>3 чел.)</w:t>
            </w:r>
          </w:p>
          <w:p w:rsidR="00047F5D" w:rsidRPr="00243BA2" w:rsidRDefault="00047F5D" w:rsidP="007B143F">
            <w:pPr>
              <w:spacing w:after="0"/>
              <w:jc w:val="center"/>
              <w:rPr>
                <w:i/>
                <w:sz w:val="22"/>
              </w:rPr>
            </w:pP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r w:rsidRPr="00243BA2">
              <w:rPr>
                <w:sz w:val="22"/>
              </w:rPr>
              <w:t>(Не менее</w:t>
            </w:r>
          </w:p>
          <w:p w:rsidR="00047F5D" w:rsidRPr="00243BA2" w:rsidRDefault="00047F5D" w:rsidP="00047F5D">
            <w:pPr>
              <w:spacing w:after="0"/>
              <w:jc w:val="center"/>
              <w:rPr>
                <w:sz w:val="22"/>
              </w:rPr>
            </w:pPr>
            <w:r w:rsidRPr="00243BA2">
              <w:rPr>
                <w:sz w:val="22"/>
              </w:rPr>
              <w:t>6 чел.)</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Шт.</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rPr>
                <w:sz w:val="22"/>
              </w:rP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047F5D" w:rsidP="0091274B">
            <w:pPr>
              <w:rPr>
                <w:sz w:val="22"/>
              </w:rPr>
            </w:pPr>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rPr>
                <w:sz w:val="22"/>
              </w:rP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lastRenderedPageBreak/>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vAlign w:val="center"/>
          </w:tcPr>
          <w:p w:rsidR="00047F5D" w:rsidRPr="00243BA2" w:rsidRDefault="00047F5D" w:rsidP="00615E5B">
            <w:pPr>
              <w:spacing w:after="0"/>
              <w:jc w:val="center"/>
              <w:rPr>
                <w:sz w:val="22"/>
                <w:lang w:val="en-US"/>
              </w:rPr>
            </w:pPr>
            <w:r w:rsidRPr="00243BA2">
              <w:rPr>
                <w:sz w:val="22"/>
                <w:lang w:val="en-US"/>
              </w:rPr>
              <w:t>Нет</w:t>
            </w:r>
          </w:p>
        </w:tc>
        <w:tc>
          <w:tcPr>
            <w:tcW w:w="620" w:type="pct"/>
            <w:vAlign w:val="center"/>
          </w:tcPr>
          <w:p w:rsidR="00047F5D" w:rsidRPr="00243BA2" w:rsidRDefault="00047F5D" w:rsidP="007B143F">
            <w:pPr>
              <w:spacing w:after="0"/>
              <w:jc w:val="center"/>
              <w:rPr>
                <w:sz w:val="22"/>
                <w:lang w:val="en-US"/>
              </w:rPr>
            </w:pPr>
            <w:r w:rsidRPr="00243BA2">
              <w:rPr>
                <w:sz w:val="22"/>
                <w:lang w:val="en-US"/>
              </w:rPr>
              <w:t>Нет</w:t>
            </w:r>
          </w:p>
        </w:tc>
        <w:tc>
          <w:tcPr>
            <w:tcW w:w="618" w:type="pct"/>
            <w:vAlign w:val="center"/>
          </w:tcPr>
          <w:p w:rsidR="00047F5D" w:rsidRPr="00243BA2" w:rsidRDefault="00047F5D"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lastRenderedPageBreak/>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rPr>
              <w:t>Да</w:t>
            </w:r>
          </w:p>
        </w:tc>
        <w:tc>
          <w:tcPr>
            <w:tcW w:w="620" w:type="pct"/>
            <w:vAlign w:val="center"/>
          </w:tcPr>
          <w:p w:rsidR="0091274B" w:rsidRPr="00243BA2" w:rsidRDefault="0091274B" w:rsidP="007B143F">
            <w:pPr>
              <w:spacing w:after="0"/>
              <w:jc w:val="center"/>
              <w:rPr>
                <w:sz w:val="22"/>
              </w:rPr>
            </w:pPr>
            <w:r w:rsidRPr="00243BA2">
              <w:rPr>
                <w:sz w:val="22"/>
              </w:rPr>
              <w:t>Да</w:t>
            </w:r>
          </w:p>
        </w:tc>
        <w:tc>
          <w:tcPr>
            <w:tcW w:w="618" w:type="pct"/>
            <w:vAlign w:val="center"/>
          </w:tcPr>
          <w:p w:rsidR="0091274B" w:rsidRPr="00243BA2" w:rsidRDefault="0091274B" w:rsidP="00047F5D">
            <w:pPr>
              <w:spacing w:after="0"/>
              <w:jc w:val="center"/>
              <w:rPr>
                <w:sz w:val="22"/>
              </w:rP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ежегодно до 15 апреля года, следующего за отчетным</w:t>
            </w:r>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Да</w:t>
            </w:r>
          </w:p>
          <w:p w:rsidR="0091274B" w:rsidRPr="00243BA2" w:rsidRDefault="0091274B" w:rsidP="00615E5B">
            <w:pPr>
              <w:spacing w:after="0"/>
              <w:jc w:val="center"/>
              <w:rPr>
                <w:sz w:val="22"/>
              </w:rP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B934C3">
            <w:pPr>
              <w:spacing w:after="0"/>
              <w:jc w:val="center"/>
              <w:rPr>
                <w:sz w:val="22"/>
              </w:rPr>
            </w:pPr>
            <w:r w:rsidRPr="00243BA2">
              <w:rPr>
                <w:sz w:val="22"/>
              </w:rPr>
              <w:t>Да</w:t>
            </w:r>
          </w:p>
          <w:p w:rsidR="0091274B" w:rsidRPr="00243BA2" w:rsidRDefault="0091274B" w:rsidP="00B934C3">
            <w:pPr>
              <w:spacing w:after="0"/>
              <w:jc w:val="center"/>
              <w:rPr>
                <w:sz w:val="22"/>
              </w:rPr>
            </w:pPr>
            <w:r w:rsidRPr="00243BA2">
              <w:rPr>
                <w:sz w:val="22"/>
              </w:rPr>
              <w:t>(Не менее 1 шт.)</w:t>
            </w:r>
          </w:p>
        </w:tc>
        <w:tc>
          <w:tcPr>
            <w:tcW w:w="620" w:type="pct"/>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lastRenderedPageBreak/>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0E2093">
            <w:pPr>
              <w:spacing w:after="0"/>
              <w:jc w:val="center"/>
              <w:rPr>
                <w:sz w:val="22"/>
                <w:szCs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vAlign w:val="center"/>
          </w:tcPr>
          <w:p w:rsidR="0091274B" w:rsidRPr="00243BA2" w:rsidRDefault="0091274B" w:rsidP="007B143F">
            <w:pPr>
              <w:spacing w:after="0"/>
              <w:jc w:val="center"/>
              <w:rPr>
                <w:sz w:val="22"/>
              </w:rPr>
            </w:pPr>
            <w:r w:rsidRPr="00243BA2">
              <w:rPr>
                <w:sz w:val="22"/>
              </w:rPr>
              <w:t>Нет</w:t>
            </w:r>
          </w:p>
        </w:tc>
        <w:tc>
          <w:tcPr>
            <w:tcW w:w="618" w:type="pct"/>
            <w:vAlign w:val="center"/>
          </w:tcPr>
          <w:p w:rsidR="0091274B" w:rsidRPr="00243BA2" w:rsidRDefault="0091274B" w:rsidP="00047F5D">
            <w:pPr>
              <w:spacing w:after="0"/>
              <w:jc w:val="center"/>
              <w:rPr>
                <w:sz w:val="22"/>
              </w:rP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lastRenderedPageBreak/>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8"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lastRenderedPageBreak/>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 xml:space="preserve">2.1. Общая сумма Гранта составляет: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рублей __ копеек в том числе:</w:t>
      </w:r>
    </w:p>
    <w:p w:rsidR="00722C31" w:rsidRPr="00243BA2" w:rsidRDefault="00214937" w:rsidP="00722C31">
      <w:pPr>
        <w:rPr>
          <w:sz w:val="22"/>
          <w:szCs w:val="22"/>
        </w:rPr>
      </w:pPr>
      <w:sdt>
        <w:sdtPr>
          <w:rPr>
            <w:sz w:val="22"/>
            <w:szCs w:val="22"/>
            <w:lang w:val="en-US"/>
          </w:rPr>
          <w:id w:val="1429288820"/>
        </w:sdtPr>
        <w:sdtEndPr/>
        <w:sdtContent>
          <w:r w:rsidR="00722C31" w:rsidRPr="00243BA2">
            <w:rPr>
              <w:sz w:val="22"/>
              <w:szCs w:val="22"/>
            </w:rPr>
            <w:t>2018 год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рублей __ копеек </w:t>
      </w:r>
    </w:p>
    <w:p w:rsidR="00722C31" w:rsidRPr="00243BA2" w:rsidRDefault="00214937" w:rsidP="00722C31">
      <w:pPr>
        <w:rPr>
          <w:sz w:val="22"/>
          <w:szCs w:val="22"/>
        </w:rPr>
      </w:pPr>
      <w:sdt>
        <w:sdtPr>
          <w:rPr>
            <w:sz w:val="22"/>
            <w:szCs w:val="22"/>
            <w:lang w:val="en-US"/>
          </w:rPr>
          <w:id w:val="782712881"/>
        </w:sdtPr>
        <w:sdtEndPr/>
        <w:sdtContent>
          <w:r w:rsidR="00722C31" w:rsidRPr="00243BA2">
            <w:rPr>
              <w:sz w:val="22"/>
              <w:szCs w:val="22"/>
            </w:rPr>
            <w:t xml:space="preserve">2019 год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контроль за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lastRenderedPageBreak/>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r w:rsidR="00213D80" w:rsidRPr="00243BA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09657D" w:rsidRPr="00243BA2">
        <w:rPr>
          <w:sz w:val="22"/>
          <w:szCs w:val="22"/>
        </w:rPr>
        <w:t>в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43BA2" w:rsidRDefault="00213D80" w:rsidP="00213D80">
      <w:pPr>
        <w:spacing w:after="0"/>
        <w:ind w:firstLine="708"/>
        <w:rPr>
          <w:sz w:val="22"/>
          <w:szCs w:val="22"/>
        </w:rPr>
      </w:pPr>
      <w:r w:rsidRPr="00243BA2">
        <w:rPr>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lastRenderedPageBreak/>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4.1. 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407B71" w:rsidRPr="00243BA2" w:rsidRDefault="00407B71" w:rsidP="008346A5">
      <w:pPr>
        <w:spacing w:after="0"/>
        <w:rPr>
          <w:sz w:val="22"/>
          <w:szCs w:val="22"/>
        </w:rPr>
      </w:pPr>
      <w:r w:rsidRPr="00243BA2">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
    <w:p w:rsidR="00722C31" w:rsidRPr="00243BA2" w:rsidRDefault="00722C31" w:rsidP="00722C31">
      <w:pPr>
        <w:spacing w:after="0"/>
        <w:ind w:firstLine="708"/>
        <w:rPr>
          <w:sz w:val="22"/>
          <w:szCs w:val="22"/>
          <w:lang w:eastAsia="en-US"/>
        </w:rPr>
      </w:pPr>
      <w:r w:rsidRPr="00243BA2">
        <w:rPr>
          <w:sz w:val="22"/>
          <w:szCs w:val="22"/>
        </w:rPr>
        <w:t xml:space="preserve">4.4. 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r w:rsidRPr="00243BA2">
        <w:rPr>
          <w:sz w:val="22"/>
          <w:szCs w:val="22"/>
        </w:rPr>
        <w:lastRenderedPageBreak/>
        <w:t xml:space="preserve">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 результатах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ИКР, ИКСПО и ИКСИ предоставляются только в электронном виде в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ЦИТиС  регистрационным номером.</w:t>
      </w:r>
    </w:p>
    <w:p w:rsidR="00407B71" w:rsidRPr="00243BA2" w:rsidRDefault="0009657D" w:rsidP="0009657D">
      <w:pPr>
        <w:spacing w:after="0"/>
        <w:rPr>
          <w:sz w:val="22"/>
          <w:szCs w:val="22"/>
        </w:rPr>
      </w:pPr>
      <w:r w:rsidRPr="00243BA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lastRenderedPageBreak/>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средств гранта.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в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р/с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t xml:space="preserve">р/с: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r w:rsidRPr="00243BA2">
        <w:rPr>
          <w:sz w:val="20"/>
          <w:szCs w:val="20"/>
        </w:rPr>
        <w:t>фио.</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lastRenderedPageBreak/>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 этапа</w:t>
            </w:r>
          </w:p>
        </w:tc>
        <w:tc>
          <w:tcPr>
            <w:tcW w:w="3402" w:type="dxa"/>
            <w:vAlign w:val="center"/>
          </w:tcPr>
          <w:p w:rsidR="00407B71" w:rsidRPr="00243BA2" w:rsidRDefault="00407B71" w:rsidP="003663A3">
            <w:pPr>
              <w:spacing w:after="0"/>
              <w:jc w:val="center"/>
              <w:rPr>
                <w:sz w:val="22"/>
                <w:szCs w:val="22"/>
              </w:rP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rPr>
                <w:sz w:val="22"/>
                <w:szCs w:val="22"/>
              </w:rP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rPr>
                <w:sz w:val="22"/>
                <w:szCs w:val="22"/>
              </w:rPr>
            </w:pPr>
            <w:r w:rsidRPr="00243BA2">
              <w:rPr>
                <w:sz w:val="22"/>
                <w:szCs w:val="22"/>
              </w:rPr>
              <w:t>Стоимость этапа,</w:t>
            </w:r>
          </w:p>
          <w:p w:rsidR="00407B71" w:rsidRPr="00243BA2" w:rsidRDefault="00407B71" w:rsidP="003663A3">
            <w:pPr>
              <w:spacing w:after="0"/>
              <w:jc w:val="center"/>
              <w:rPr>
                <w:sz w:val="22"/>
                <w:szCs w:val="22"/>
              </w:rPr>
            </w:pPr>
            <w:r w:rsidRPr="00243BA2">
              <w:rPr>
                <w:sz w:val="22"/>
                <w:szCs w:val="22"/>
              </w:rPr>
              <w:t>руб.</w:t>
            </w:r>
          </w:p>
        </w:tc>
        <w:tc>
          <w:tcPr>
            <w:tcW w:w="2268" w:type="dxa"/>
            <w:vAlign w:val="center"/>
          </w:tcPr>
          <w:p w:rsidR="00407B71" w:rsidRPr="00243BA2" w:rsidRDefault="00407B71" w:rsidP="003663A3">
            <w:pPr>
              <w:spacing w:after="0"/>
              <w:jc w:val="center"/>
              <w:rPr>
                <w:sz w:val="22"/>
                <w:szCs w:val="22"/>
              </w:rP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1</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221C67" w:rsidP="003663A3">
            <w:pPr>
              <w:spacing w:after="0"/>
              <w:jc w:val="center"/>
              <w:rPr>
                <w:sz w:val="22"/>
                <w:szCs w:val="22"/>
              </w:rPr>
            </w:pPr>
            <w:r w:rsidRPr="00243BA2">
              <w:rPr>
                <w:sz w:val="22"/>
                <w:szCs w:val="22"/>
              </w:rPr>
              <w:t>3</w:t>
            </w:r>
          </w:p>
        </w:tc>
        <w:tc>
          <w:tcPr>
            <w:tcW w:w="1559" w:type="dxa"/>
          </w:tcPr>
          <w:p w:rsidR="00407B71" w:rsidRPr="00243BA2" w:rsidRDefault="00407B71" w:rsidP="00221C67">
            <w:pPr>
              <w:spacing w:after="0"/>
              <w:rPr>
                <w:i/>
                <w:sz w:val="22"/>
                <w:szCs w:val="22"/>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407B71" w:rsidRPr="00243BA2" w:rsidRDefault="00910AE2" w:rsidP="003663A3">
            <w:pPr>
              <w:spacing w:after="0"/>
              <w:rPr>
                <w:sz w:val="22"/>
                <w:szCs w:val="22"/>
              </w:rPr>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rPr>
                <w:sz w:val="22"/>
                <w:szCs w:val="22"/>
              </w:rPr>
            </w:pPr>
            <w:r w:rsidRPr="00243BA2">
              <w:rPr>
                <w:sz w:val="22"/>
                <w:szCs w:val="22"/>
              </w:rPr>
              <w:t>2</w:t>
            </w:r>
          </w:p>
        </w:tc>
        <w:tc>
          <w:tcPr>
            <w:tcW w:w="3402" w:type="dxa"/>
          </w:tcPr>
          <w:p w:rsidR="00047F5D" w:rsidRPr="00243BA2" w:rsidRDefault="00047F5D" w:rsidP="003663A3">
            <w:pPr>
              <w:spacing w:after="0"/>
              <w:rPr>
                <w:sz w:val="22"/>
                <w:szCs w:val="22"/>
              </w:rPr>
            </w:pPr>
          </w:p>
        </w:tc>
        <w:tc>
          <w:tcPr>
            <w:tcW w:w="1701" w:type="dxa"/>
            <w:vAlign w:val="center"/>
          </w:tcPr>
          <w:p w:rsidR="00047F5D" w:rsidRPr="00243BA2" w:rsidRDefault="00221C67" w:rsidP="003663A3">
            <w:pPr>
              <w:spacing w:after="0"/>
              <w:jc w:val="center"/>
              <w:rPr>
                <w:sz w:val="22"/>
                <w:szCs w:val="22"/>
              </w:rPr>
            </w:pPr>
            <w:r w:rsidRPr="00243BA2">
              <w:rPr>
                <w:sz w:val="22"/>
                <w:szCs w:val="22"/>
              </w:rPr>
              <w:t>3</w:t>
            </w:r>
          </w:p>
        </w:tc>
        <w:tc>
          <w:tcPr>
            <w:tcW w:w="1559" w:type="dxa"/>
          </w:tcPr>
          <w:p w:rsidR="00047F5D" w:rsidRPr="00243BA2" w:rsidRDefault="00221C67" w:rsidP="008C7BF3">
            <w:pPr>
              <w:spacing w:after="0"/>
              <w:rPr>
                <w:i/>
                <w:sz w:val="22"/>
                <w:szCs w:val="22"/>
              </w:rPr>
            </w:pPr>
            <w:r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Промежуточный научно-технический отчет.</w:t>
            </w:r>
          </w:p>
          <w:p w:rsidR="00221C67" w:rsidRPr="00243BA2" w:rsidRDefault="00221C67" w:rsidP="00221C67">
            <w:pPr>
              <w:spacing w:after="0"/>
              <w:rPr>
                <w:sz w:val="22"/>
                <w:szCs w:val="22"/>
              </w:rPr>
            </w:pPr>
            <w:r w:rsidRPr="00243BA2">
              <w:rPr>
                <w:sz w:val="22"/>
                <w:szCs w:val="22"/>
              </w:rPr>
              <w:t>Финансовый отчет.</w:t>
            </w:r>
          </w:p>
          <w:p w:rsidR="00047F5D" w:rsidRPr="00243BA2" w:rsidRDefault="00221C67" w:rsidP="00221C67">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rPr>
                <w:sz w:val="22"/>
                <w:szCs w:val="22"/>
              </w:rPr>
            </w:pPr>
            <w:r w:rsidRPr="00243BA2">
              <w:rPr>
                <w:sz w:val="22"/>
                <w:szCs w:val="22"/>
              </w:rPr>
              <w:t>3</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407B71" w:rsidP="003663A3">
            <w:pPr>
              <w:spacing w:after="0"/>
              <w:jc w:val="center"/>
              <w:rPr>
                <w:sz w:val="22"/>
                <w:szCs w:val="22"/>
              </w:rPr>
            </w:pPr>
            <w:r w:rsidRPr="00243BA2">
              <w:rPr>
                <w:sz w:val="22"/>
                <w:szCs w:val="22"/>
              </w:rPr>
              <w:t>6</w:t>
            </w:r>
          </w:p>
        </w:tc>
        <w:tc>
          <w:tcPr>
            <w:tcW w:w="1559" w:type="dxa"/>
          </w:tcPr>
          <w:p w:rsidR="00407B71" w:rsidRPr="00243BA2" w:rsidRDefault="00407B71" w:rsidP="008C7BF3">
            <w:pPr>
              <w:spacing w:after="0"/>
              <w:rPr>
                <w:i/>
                <w:sz w:val="22"/>
                <w:szCs w:val="22"/>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rPr>
                <w:sz w:val="22"/>
                <w:szCs w:val="22"/>
              </w:rPr>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sz w:val="22"/>
                <w:szCs w:val="22"/>
              </w:rPr>
            </w:pPr>
            <w:r w:rsidRPr="00243BA2">
              <w:rPr>
                <w:sz w:val="22"/>
                <w:szCs w:val="22"/>
              </w:rPr>
              <w:t xml:space="preserve">Акт о выполнении НИОКР по этапу </w:t>
            </w:r>
            <w:r w:rsidRPr="00243BA2">
              <w:rPr>
                <w:bCs/>
                <w:sz w:val="22"/>
                <w:szCs w:val="22"/>
              </w:rPr>
              <w:t>Отчет о целевом использовании средств гранта</w:t>
            </w:r>
            <w:r w:rsidR="00910AE2" w:rsidRPr="00243BA2">
              <w:rPr>
                <w:bCs/>
                <w:sz w:val="22"/>
                <w:szCs w:val="22"/>
              </w:rPr>
              <w:t>.</w:t>
            </w:r>
          </w:p>
          <w:p w:rsidR="00814D70" w:rsidRPr="00243BA2" w:rsidRDefault="00814D70" w:rsidP="003663A3">
            <w:pPr>
              <w:spacing w:after="0"/>
              <w:rPr>
                <w:sz w:val="22"/>
                <w:szCs w:val="22"/>
              </w:rPr>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rPr>
                <w:sz w:val="22"/>
                <w:szCs w:val="22"/>
              </w:rPr>
            </w:pPr>
          </w:p>
        </w:tc>
        <w:tc>
          <w:tcPr>
            <w:tcW w:w="3402" w:type="dxa"/>
          </w:tcPr>
          <w:p w:rsidR="00407B71" w:rsidRPr="00243BA2" w:rsidRDefault="00407B71" w:rsidP="003663A3">
            <w:pPr>
              <w:spacing w:after="0"/>
              <w:rPr>
                <w:sz w:val="22"/>
                <w:szCs w:val="22"/>
              </w:rPr>
            </w:pPr>
            <w:r w:rsidRPr="00243BA2">
              <w:rPr>
                <w:sz w:val="22"/>
                <w:szCs w:val="22"/>
              </w:rPr>
              <w:t>ИТОГО:</w:t>
            </w:r>
          </w:p>
        </w:tc>
        <w:tc>
          <w:tcPr>
            <w:tcW w:w="1701" w:type="dxa"/>
          </w:tcPr>
          <w:p w:rsidR="00407B71" w:rsidRPr="00243BA2" w:rsidRDefault="00407B71" w:rsidP="003663A3">
            <w:pPr>
              <w:spacing w:after="0"/>
              <w:rPr>
                <w:sz w:val="22"/>
                <w:szCs w:val="22"/>
              </w:rPr>
            </w:pPr>
          </w:p>
        </w:tc>
        <w:tc>
          <w:tcPr>
            <w:tcW w:w="1559" w:type="dxa"/>
          </w:tcPr>
          <w:p w:rsidR="00407B71" w:rsidRPr="00243BA2" w:rsidRDefault="00407B71" w:rsidP="003663A3">
            <w:pPr>
              <w:spacing w:after="0"/>
              <w:rPr>
                <w:sz w:val="22"/>
                <w:szCs w:val="22"/>
              </w:rPr>
            </w:pPr>
            <w:r w:rsidRPr="00243BA2">
              <w:rPr>
                <w:sz w:val="22"/>
                <w:szCs w:val="22"/>
              </w:rPr>
              <w:t>100% суммы гранта</w:t>
            </w:r>
          </w:p>
        </w:tc>
        <w:tc>
          <w:tcPr>
            <w:tcW w:w="2268" w:type="dxa"/>
          </w:tcPr>
          <w:p w:rsidR="00407B71" w:rsidRPr="00243BA2" w:rsidRDefault="00407B71" w:rsidP="003663A3">
            <w:pPr>
              <w:spacing w:after="0"/>
              <w:rPr>
                <w:sz w:val="22"/>
                <w:szCs w:val="22"/>
              </w:rPr>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п/п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37" w:rsidRDefault="00214937" w:rsidP="0075438A">
      <w:pPr>
        <w:spacing w:after="0"/>
      </w:pPr>
      <w:r>
        <w:separator/>
      </w:r>
    </w:p>
  </w:endnote>
  <w:endnote w:type="continuationSeparator" w:id="0">
    <w:p w:rsidR="00214937" w:rsidRDefault="0021493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A5" w:rsidRDefault="008346A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A5" w:rsidRDefault="008346A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1D10">
      <w:rPr>
        <w:rStyle w:val="a5"/>
      </w:rPr>
      <w:t>2</w:t>
    </w:r>
    <w:r>
      <w:rPr>
        <w:rStyle w:val="a5"/>
      </w:rPr>
      <w:fldChar w:fldCharType="end"/>
    </w:r>
  </w:p>
  <w:p w:rsidR="008346A5" w:rsidRPr="00355735" w:rsidRDefault="008346A5"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37" w:rsidRDefault="00214937" w:rsidP="0075438A">
      <w:pPr>
        <w:spacing w:after="0"/>
      </w:pPr>
      <w:r>
        <w:separator/>
      </w:r>
    </w:p>
  </w:footnote>
  <w:footnote w:type="continuationSeparator" w:id="0">
    <w:p w:rsidR="00214937" w:rsidRDefault="00214937" w:rsidP="0075438A">
      <w:pPr>
        <w:spacing w:after="0"/>
      </w:pPr>
      <w:r>
        <w:continuationSeparator/>
      </w:r>
    </w:p>
  </w:footnote>
  <w:footnote w:id="1">
    <w:p w:rsidR="008346A5" w:rsidRDefault="008346A5"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8346A5" w:rsidRPr="00337457" w:rsidRDefault="008346A5"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8346A5" w:rsidRPr="00337457" w:rsidRDefault="008346A5"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A5" w:rsidRDefault="008346A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937"/>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01D10"/>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5A8EB-0E2B-448B-9AC7-F9839AC6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___Microsoft_PowerPoint1.pptx"/><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online.fasi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www.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2.xml"/><Relationship Id="rId19" Type="http://schemas.openxmlformats.org/officeDocument/2006/relationships/hyperlink" Target="http://www.fasi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sie.ru" TargetMode="External"/><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09BB-692E-4C90-A83C-6E493C12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19432</Words>
  <Characters>110768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2015-04-20T15:21:00Z</cp:lastPrinted>
  <dcterms:created xsi:type="dcterms:W3CDTF">2018-04-17T12:07:00Z</dcterms:created>
  <dcterms:modified xsi:type="dcterms:W3CDTF">2018-04-17T12:07:00Z</dcterms:modified>
</cp:coreProperties>
</file>